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text" w:horzAnchor="margin" w:tblpY="7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>
        <w:tc>
          <w:tcPr>
            <w:tcW w:w="1059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smallCaps/>
                <w:sz w:val="24"/>
                <w:szCs w:val="24"/>
              </w:rPr>
              <w:t>ЗАЯВКА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center"/>
              <w:rPr>
                <w:rFonts w:eastAsia="Roboto"/>
                <w:b/>
                <w:smallCaps/>
                <w:sz w:val="24"/>
                <w:szCs w:val="24"/>
              </w:rPr>
            </w:pPr>
            <w:r>
              <w:rPr>
                <w:rFonts w:eastAsia="Roboto"/>
                <w:b/>
                <w:smallCaps/>
                <w:sz w:val="24"/>
                <w:szCs w:val="24"/>
              </w:rPr>
              <w:t xml:space="preserve">НА УЧАСТИЕ В ОТБОРЕ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smallCaps/>
                <w:sz w:val="24"/>
                <w:szCs w:val="24"/>
              </w:rPr>
              <w:t>ЦИФРОВИЗАЦИЯ ЛОГИСТИКИ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smallCaps/>
                <w:sz w:val="24"/>
                <w:szCs w:val="24"/>
              </w:rPr>
              <w:t>ЕЖЕГОДНОЙ ОБЩЕСТВЕННОЙ ПРЕМИИ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eastAsia="Roboto"/>
                <w:b/>
                <w:smallCaps/>
                <w:sz w:val="24"/>
                <w:szCs w:val="24"/>
              </w:rPr>
              <w:t>«РЕГИОНЫ – УСТОЙЧИВОЕ РАЗВИТИЕ»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tbl>
      <w:tblPr>
        <w:tblStyle w:val="a9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>
        <w:tc>
          <w:tcPr>
            <w:tcW w:w="10632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632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>
        <w:tc>
          <w:tcPr>
            <w:tcW w:w="10632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>
        <w:tc>
          <w:tcPr>
            <w:tcW w:w="10632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,</w:t>
            </w:r>
            <w:r>
              <w:rPr>
                <w:rStyle w:val="a8"/>
                <w:rFonts w:eastAsia="Roboto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info@infra-konkurs.ru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tabs>
          <w:tab w:val="left" w:pos="1358"/>
        </w:tabs>
        <w:rPr>
          <w:rFonts w:eastAsia="Roboto"/>
          <w:sz w:val="22"/>
          <w:szCs w:val="22"/>
          <w:lang w:val="en-US"/>
        </w:rPr>
      </w:pPr>
    </w:p>
    <w:tbl>
      <w:tblPr>
        <w:tblStyle w:val="a5"/>
        <w:tblW w:w="106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6"/>
        <w:gridCol w:w="3802"/>
      </w:tblGrid>
      <w:tr>
        <w:trPr>
          <w:trHeight w:val="320"/>
        </w:trPr>
        <w:tc>
          <w:tcPr>
            <w:tcW w:w="10607" w:type="dxa"/>
            <w:gridSpan w:val="3"/>
            <w:shd w:val="clear" w:color="auto" w:fill="0070C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юридического лица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нахождения (регион, населенный пункт)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интернет-сайта организации (при наличии)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Электронная почта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98" w:type="dxa"/>
            <w:gridSpan w:val="2"/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РОЛЬ В ЛОГИСТИЧЕСКОМ ПРОЦЕССЕ (выбрать)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Отправитель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Перевозчик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Страховая компания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таможенному сопровождению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аренде спец. техники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хранению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98" w:type="dxa"/>
            <w:gridSpan w:val="2"/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ДАННЫЕ ОТ КОМПАНИИ ОТПРАВИТЕЛЯ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сотрудников, задействованных в логистике на предприятии, чел. 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отправляемых грузов (шт. / в месяц)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  <w:shd w:val="clear" w:color="auto" w:fill="00B050"/>
              </w:rPr>
              <w:t>ДАННЫЕ ОТ КОМПАНИИ ПЕРЕВОЗЧИКА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грузовых транспортных средств, находящихся в собственности / аренде, шт.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898" w:type="dxa"/>
            <w:gridSpan w:val="2"/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ДАННЫЕ ПО ТЕКУЩЕМУ ПРОГРАММНОМУ ОБЕСПЕЧЕНИЮ, </w:t>
            </w:r>
            <w:proofErr w:type="gramStart"/>
            <w:r>
              <w:rPr>
                <w:b/>
                <w:color w:val="FFFFFF" w:themeColor="background1"/>
                <w:sz w:val="24"/>
                <w:szCs w:val="24"/>
              </w:rPr>
              <w:t>ИСПОЛЬЗУЕМОЕ</w:t>
            </w:r>
            <w:proofErr w:type="gramEnd"/>
            <w:r>
              <w:rPr>
                <w:b/>
                <w:color w:val="FFFFFF" w:themeColor="background1"/>
                <w:sz w:val="24"/>
                <w:szCs w:val="24"/>
              </w:rPr>
              <w:t xml:space="preserve"> НА ПРЕДПРИЯТИИ НА ТЕКУЩИЙ МОМЕНТ (при наличии)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по программному обеспечению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Указать при наличии </w:t>
            </w: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ЦИФРОВИЗАЦИИ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t>Сократить дефицит кадров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spacing w:line="276" w:lineRule="auto"/>
              <w:jc w:val="both"/>
            </w:pPr>
            <w:r>
              <w:t>Автоматизировать процессы расчетов и управления;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spacing w:line="276" w:lineRule="auto"/>
              <w:jc w:val="both"/>
            </w:pPr>
            <w:r>
              <w:t>Обеспечить прозрачность логистики грузов;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spacing w:line="276" w:lineRule="auto"/>
              <w:jc w:val="both"/>
            </w:pPr>
            <w:r>
              <w:t>Обеспечить снижение ручных операций и использования сервисов;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t>Внедрение электронного документооборота и формирование единых баз данных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</w:tbl>
    <w:p>
      <w:pPr>
        <w:rPr>
          <w:sz w:val="24"/>
          <w:szCs w:val="22"/>
        </w:rPr>
      </w:pPr>
      <w:bookmarkStart w:id="0" w:name="_GoBack"/>
      <w:bookmarkEnd w:id="0"/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70C0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Федеральная налоговая служба (ФНС) России опубликовала рекомендации для налогоплательщиков по отправке электронных писем в госорганы. Почтовые серверы в российских доменах, таких как .</w:t>
            </w:r>
            <w:proofErr w:type="spellStart"/>
            <w:r>
              <w:rPr>
                <w:color w:val="000000"/>
                <w:shd w:val="clear" w:color="auto" w:fill="FFFFFF"/>
              </w:rPr>
              <w:t>ru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.</w:t>
            </w:r>
            <w:proofErr w:type="spellStart"/>
            <w:r>
              <w:rPr>
                <w:color w:val="000000"/>
                <w:shd w:val="clear" w:color="auto" w:fill="FFFFFF"/>
              </w:rPr>
              <w:t>su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не попадают под ограничения. Просьба не указывать почту .gmail.com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данные лица для работы по заявке (финансовое подразделение)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в Организации 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Федеральная налоговая служба (ФНС) России опубликовала рекомендации для налогоплательщиков по отправке электронных писем в госорганы. Почтовые серверы в российских доменах, таких как .</w:t>
            </w:r>
            <w:proofErr w:type="spellStart"/>
            <w:r>
              <w:rPr>
                <w:color w:val="000000"/>
                <w:shd w:val="clear" w:color="auto" w:fill="FFFFFF"/>
              </w:rPr>
              <w:t>ru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.</w:t>
            </w:r>
            <w:proofErr w:type="spellStart"/>
            <w:r>
              <w:rPr>
                <w:color w:val="000000"/>
                <w:shd w:val="clear" w:color="auto" w:fill="FFFFFF"/>
              </w:rPr>
              <w:t>su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не попадают под ограничения. Просьба не указывать почту .gmail.com</w:t>
            </w:r>
          </w:p>
        </w:tc>
      </w:tr>
    </w:tbl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Директор</w:t>
            </w: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Roboto"/>
          <w:sz w:val="22"/>
          <w:szCs w:val="22"/>
        </w:rPr>
      </w:pPr>
    </w:p>
    <w:sectPr>
      <w:footerReference w:type="default" r:id="rId10"/>
      <w:headerReference w:type="first" r:id="rId11"/>
      <w:pgSz w:w="11906" w:h="16838"/>
      <w:pgMar w:top="993" w:right="707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462"/>
    </w:tblGrid>
    <w:tr>
      <w:tc>
        <w:tcPr>
          <w:tcW w:w="5136" w:type="dxa"/>
        </w:tcPr>
        <w:p>
          <w:pPr>
            <w:pStyle w:val="ac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2" w:type="dxa"/>
          <w:vAlign w:val="center"/>
        </w:tcPr>
        <w:p>
          <w:pPr>
            <w:pStyle w:val="ac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>
          <w:pPr>
            <w:pStyle w:val="ac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c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>
          <w:pPr>
            <w:pStyle w:val="ac"/>
            <w:rPr>
              <w:rFonts w:ascii="Segoe UI Light" w:hAnsi="Segoe UI Light" w:cs="Segoe UI"/>
              <w:color w:val="9D9D9D"/>
            </w:rPr>
          </w:pPr>
        </w:p>
        <w:p>
          <w:pPr>
            <w:pStyle w:val="ac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F6940F90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CB473E4"/>
    <w:multiLevelType w:val="hybridMultilevel"/>
    <w:tmpl w:val="6D445764"/>
    <w:lvl w:ilvl="0" w:tplc="242AA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js-phone-number">
    <w:name w:val="js-phone-number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styleId="ab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js-phone-number">
    <w:name w:val="js-phone-number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styleId="ab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E7DC3-4666-4260-90F9-E9F45F04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5</cp:revision>
  <dcterms:created xsi:type="dcterms:W3CDTF">2024-12-13T07:18:00Z</dcterms:created>
  <dcterms:modified xsi:type="dcterms:W3CDTF">2025-11-27T08:03:00Z</dcterms:modified>
</cp:coreProperties>
</file>